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 xml:space="preserve">起诉状 并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40"/>
          <w:szCs w:val="40"/>
          <w:highlight w:val="none"/>
          <w:vertAlign w:val="baseline"/>
          <w:em w:val="none"/>
          <w:lang w:val="en-US" w:bidi="ar-SA" w:eastAsia="en-US"/>
        </w:rPr>
        <w:t>监督申请书</w:t>
      </w: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FB73EE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何义军, 男, 汉族,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公民身份号431126198402221233, 北京物资学院本科,</w:t>
      </w: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团员、住四川省成都市高新区天府大道北段18号附10号、电话15010458040</w:t>
      </w:r>
    </w:p>
    <w:p w14:paraId="95BD56F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住北京市东城区东交民巷27号(100745)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院长:张军, 统一社会信用代码: 111000000000116154, 总机:010-67550114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财付通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财付通支付科技有限公司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深圳前海合作区人民法院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中国移动微法院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",大多数法院在用的互联网审判平台(微信小程序)。</w:t>
      </w:r>
    </w:p>
    <w:p w14:paraId="CDC3D4E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现有两版,2.0标准版:大多数法院在用, 3.0升级版:"天津、广东省"少数法院用。</w:t>
      </w:r>
    </w:p>
    <w:p w14:paraId="7F2E0DD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b/>
          <w:bCs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3.0版又简称"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法院在线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"(全称"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人民法院在线服务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"),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2022年3月1日推出。</w:t>
      </w:r>
    </w:p>
    <w:p w14:paraId="00F65A84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原告)"于2025年6月30日, 起诉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"财付通(被告)"违约违法,</w:t>
      </w:r>
    </w:p>
    <w:p w14:paraId="9F5381C8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故意侵占财产, 造成并扩大致其损失巨大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的案例, 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"于同年7月30日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网络服务合同纠纷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(2025)粤0391民初8980号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26D3F755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F3E36A6B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8FE91D85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将"诉微信支付案"移交"与腾讯无关的"在线审判平台与法院"尽保障公正的义务。</w:t>
      </w:r>
    </w:p>
    <w:p w14:paraId="498B547A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"最高法"行政误作为, 侵占原告受宪法保障的权利, 发起控告并申请国家赔偿。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申请国家有关机关对"最高法"违反宪法、错误行政作为</w:t>
      </w:r>
      <w:r>
        <w:rPr>
          <w:rFonts w:ascii="宋体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发起公益行政诉讼。</w:t>
      </w:r>
    </w:p>
    <w:p w14:paraId="17649944">
      <w:pPr>
        <w:pStyle w:val="style179"/>
        <w:numPr>
          <w:ilvl w:val="0"/>
          <w:numId w:val="1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黑体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按照国家法律法规依法公开本案，对因违法违规颁发许可而被侵占权利或造成损失的有关人员、法人、组织，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给予行政补偿、赔偿</w:t>
      </w:r>
      <w:r>
        <w:rPr>
          <w:rFonts w:ascii="宋体" w:cs="仿宋_GB2312" w:eastAsia="宋体" w:hAnsi="仿宋_GB2312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DAEE14C2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b w:val="false"/>
          <w:bCs w:val="false"/>
          <w:sz w:val="24"/>
          <w:szCs w:val="24"/>
        </w:rPr>
      </w:pPr>
    </w:p>
    <w:p w14:paraId="1D8A853B">
      <w:pPr>
        <w:pStyle w:val="style179"/>
        <w:numPr>
          <w:ilvl w:val="0"/>
          <w:numId w:val="44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申请国家有关机关对"最高检"违反宪法、错误行政作为</w:t>
      </w:r>
      <w:r>
        <w:rPr>
          <w:rFonts w:ascii="宋体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发起公益行政诉讼。</w:t>
      </w:r>
    </w:p>
    <w:p w14:paraId="AAAE9853">
      <w:pPr>
        <w:pStyle w:val="style179"/>
        <w:numPr>
          <w:ilvl w:val="0"/>
          <w:numId w:val="44"/>
        </w:numPr>
        <w:kinsoku w:val="false"/>
        <w:autoSpaceDE w:val="false"/>
        <w:autoSpaceDN w:val="false"/>
        <w:adjustRightInd/>
        <w:snapToGrid/>
        <w:spacing w:lineRule="auto" w:line="240"/>
        <w:ind w:firstLineChars="0"/>
        <w:jc w:val="both"/>
        <w:textAlignment w:val="baseline"/>
        <w:outlineLvl w:val="9"/>
        <w:rPr/>
      </w:pPr>
      <w:r>
        <w:rPr>
          <w:rFonts w:ascii="宋体" w:cs="黑体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按照国家法律法规依法公开、听证本案，对因违法违规颁发许可而被侵占权利或造成损失的有关人员、法人、组织，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给予行政补偿、赔偿</w:t>
      </w:r>
      <w:r>
        <w:rPr>
          <w:rFonts w:ascii="宋体" w:cs="仿宋_GB2312" w:eastAsia="宋体" w:hAnsi="仿宋_GB2312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A30D3ADC">
      <w:pPr>
        <w:pStyle w:val="style179"/>
        <w:numPr>
          <w:ilvl w:val="0"/>
          <w:numId w:val="44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/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被告支付原告赔偿款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20279700.00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元。</w:t>
      </w:r>
    </w:p>
    <w:p w14:paraId="69DD3836">
      <w:pPr>
        <w:pStyle w:val="style179"/>
        <w:numPr>
          <w:ilvl w:val="0"/>
          <w:numId w:val="44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将"诉微信支付案"移交"与腾讯无关的"在线审判平台与法院"以保障公正审判。并由"最高检"监督原告的"诉微信支付案"。</w:t>
      </w:r>
    </w:p>
    <w:p w14:paraId="94E20721">
      <w:pPr>
        <w:pStyle w:val="style179"/>
        <w:numPr>
          <w:ilvl w:val="0"/>
          <w:numId w:val="44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由最高检起诉"最高法行政误作为"</w:t>
      </w:r>
      <w:r>
        <w:rPr>
          <w:rFonts w:ascii="宋体" w:cs="Microsoft YaHei" w:eastAsia="Arial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；并因"最高法"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侵占原告受宪法保障的权利,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由国家赔偿原告20279700.00元。</w:t>
      </w:r>
    </w:p>
    <w:p w14:paraId="BCF28552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b w:val="false"/>
          <w:bCs w:val="false"/>
          <w:sz w:val="24"/>
          <w:szCs w:val="24"/>
        </w:rPr>
      </w:pPr>
    </w:p>
    <w:p w14:paraId="4098B9B6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8D441772">
      <w:pPr>
        <w:pStyle w:val="style0"/>
        <w:adjustRightInd/>
        <w:snapToGrid/>
        <w:spacing w:lineRule="auto" w:line="240"/>
        <w:jc w:val="both"/>
        <w:outlineLvl w:val="9"/>
        <w:rPr/>
      </w:pPr>
      <w:r>
        <w:rPr>
          <w:rFonts w:ascii="宋体" w:cs="仿宋_GB2312" w:eastAsia="宋体" w:hAnsi="宋体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适用以下有关法律法条款项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A621781F">
      <w:pPr>
        <w:pStyle w:val="style0"/>
        <w:adjustRightInd/>
        <w:snapToGrid/>
        <w:spacing w:lineRule="auto" w:line="24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《中华人民共和国宪法》</w:t>
      </w:r>
    </w:p>
    <w:p w14:paraId="3BA493E6">
      <w:pPr>
        <w:pStyle w:val="style0"/>
        <w:adjustRightInd/>
        <w:snapToGrid/>
        <w:spacing w:lineRule="auto" w:line="240"/>
        <w:ind w:left="2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第五条　中华人民共和国实行依法治国</w:t>
      </w:r>
      <w:r>
        <w:rPr>
          <w:sz w:val="24"/>
          <w:szCs w:val="24"/>
          <w:lang w:val="en-US"/>
        </w:rPr>
        <w:t>，</w:t>
      </w:r>
      <w:r>
        <w:rPr>
          <w:rFonts w:ascii="宋体" w:eastAsia="宋体" w:hAnsi="宋体"/>
          <w:sz w:val="24"/>
          <w:szCs w:val="24"/>
          <w:lang w:val="en-US"/>
        </w:rPr>
        <w:t>建设社会主义法治国家。</w:t>
      </w:r>
    </w:p>
    <w:p w14:paraId="33E9B547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国家维护社会主义法制的统一和尊严。</w:t>
      </w:r>
    </w:p>
    <w:p w14:paraId="E92D94D4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一切法律、行政法规和地方性法规都不得同宪法相抵触。</w:t>
      </w:r>
    </w:p>
    <w:p w14:paraId="DF11D6FA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一切国家机关和武装力量、各政党和各社会团体、各企业事业组织都必须遵守宪法和法律。一切违反宪法和法律的行为</w:t>
      </w:r>
      <w:r>
        <w:rPr>
          <w:sz w:val="24"/>
          <w:szCs w:val="24"/>
          <w:lang w:val="en-US"/>
        </w:rPr>
        <w:t>，</w:t>
      </w:r>
      <w:r>
        <w:rPr>
          <w:rFonts w:ascii="宋体" w:eastAsia="宋体"/>
          <w:sz w:val="24"/>
          <w:szCs w:val="24"/>
          <w:lang w:val="en-US"/>
        </w:rPr>
        <w:t>必须予以追究。</w:t>
      </w:r>
    </w:p>
    <w:p w14:paraId="860954F3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任何组织或者个人都不得有超越宪法和法律的特权。</w:t>
      </w:r>
    </w:p>
    <w:p w14:paraId="B5910649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第二十七条　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一切国家机关实行精简的原则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，实行工作责任制，实行工作人员的培训和考核制度，不断提高工作质量和工作效率，反对官僚主义。</w:t>
      </w:r>
    </w:p>
    <w:p w14:paraId="9166E2A0">
      <w:pPr>
        <w:pStyle w:val="style0"/>
        <w:adjustRightInd/>
        <w:snapToGrid/>
        <w:spacing w:lineRule="auto" w:line="240"/>
        <w:ind w:left="6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一切国家机关和国家工作人员必须依靠人民的支持，经常保持同人民的密切联系，倾听人民的意见和建议，接受人民的监督，努力为人民服务。</w:t>
      </w:r>
    </w:p>
    <w:p w14:paraId="FAD3ADA3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第四十一条第一、二、三款　"对于公民的申诉、控告或者检举，有关国家机关必须查清事实，负责处理。任何人不得压制和打击报复。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国家机关侵犯公民权利而受到损失的人，有依照法律规定取得赔偿的权利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"。</w:t>
      </w:r>
    </w:p>
    <w:p w14:paraId="82F62AD5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ind w:left="3"/>
        <w:jc w:val="left"/>
        <w:textAlignment w:val="baseline"/>
        <w:rPr>
          <w:rFonts w:ascii="宋体" w:eastAsia="宋体"/>
          <w:sz w:val="24"/>
          <w:szCs w:val="24"/>
          <w:u w:val="single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"最高法"推广全国法院使用"微法院"行政作为不当, 长达5年以上不纠正不完善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F6FE885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全国"微法院"版本部署管理混乱</w:t>
      </w:r>
      <w:r>
        <w:rPr>
          <w:rFonts w:ascii="宋体" w:cs="Microsoft YaHei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见后文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"最高人民法院违反宪法调查报告"。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  <w:u w:val="none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有失主体责任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违反党中央组织纪律和管理规范及全国人民代表大会行政委任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事实侵占使用"微法院"有关人员受宪法保障的诉讼权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含"诉微信支付案"原告的)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70A0E77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前海法院用"深圳移动微法院、云审"互联网审判"诉微信支付案"侵权违法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2D38EDBE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侵占原告诉讼权利: 必须提交录音作为关键证据, 而该互联网平台不支持。</w:t>
      </w:r>
    </w:p>
    <w:p w14:paraId="B4999042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违反回避原则: "深圳移动微法院"、"云审"都由"微信支付利益集团"服务。</w:t>
      </w:r>
    </w:p>
    <w:p w14:paraId="B53CD7A4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当提前告知，而不告知"深圳移动微法院"、"云审"与"微信支付"利害关系。</w:t>
      </w:r>
    </w:p>
    <w:p w14:paraId="5BCEDA64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起诉期+审理期用时估计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: 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111天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(比照诉微信支付案(2025)粤0391民初8980号)。</w:t>
      </w:r>
    </w:p>
    <w:p w14:paraId="2DB6BF93">
      <w:pPr>
        <w:pStyle w:val="style179"/>
        <w:numPr>
          <w:ilvl w:val="0"/>
          <w:numId w:val="40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比照"微信支付", 2025-06-22计起, 至今9月3日已用71天。</w:t>
      </w:r>
    </w:p>
    <w:p w14:paraId="8187626C">
      <w:pPr>
        <w:pStyle w:val="style179"/>
        <w:numPr>
          <w:ilvl w:val="0"/>
          <w:numId w:val="40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审理期用时40天(全国首家互联网法院"杭州互联网法院"统计网审案的用时)。</w:t>
      </w:r>
    </w:p>
    <w:p w14:paraId="29A3762A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赔偿损失的参照模型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6430AB9E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原告系统性地为中央及国家避免风险, 规范制度流程, 激活组织, 保障政法秩序。</w:t>
      </w:r>
    </w:p>
    <w:p w14:paraId="60161841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对赔偿总额，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放大系数值可合理的设置成: 20.0(奖功性赔偿)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；</w:t>
      </w:r>
    </w:p>
    <w:p w14:paraId="FD22066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原告提供两种赔偿模型(分别参照"被告法定代表人的年收入"与"原告的"收入):</w:t>
      </w:r>
    </w:p>
    <w:p w14:paraId="BA2A60A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①法院可以要求被告提供其法定代表人的年收入作为赔偿参考基准。</w:t>
      </w:r>
    </w:p>
    <w:p w14:paraId="D1D2448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②原告保守估计现年收入: 383.65万元/年, 根据历史薪资年均增长率估值模型:</w:t>
      </w:r>
    </w:p>
    <w:p w14:paraId="A46C0C4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2008年月薪7千，2018年月薪10万, 即年均增长15.49%; </w:t>
      </w:r>
    </w:p>
    <w:p w14:paraId="476B4877">
      <w:pPr>
        <w:pStyle w:val="style0"/>
        <w:adjustRightInd/>
        <w:snapToGrid/>
        <w:spacing w:lineRule="auto" w:line="240"/>
        <w:ind w:left="63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估计2025年月薪274040; 换算成日薪:0.9135万元/天, 或大约27.40万元/月。</w:t>
      </w:r>
    </w:p>
    <w:p w14:paraId="4AD7C9BD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620" w:leftChars="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则被告分担赔偿金额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20279700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.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元[ 20 ×（71+40) ×0.9135×10000 ]</w:t>
      </w:r>
    </w:p>
    <w:p w14:paraId="F8C7116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"诉微信支付案"必须要提交一份与被告方的"通话录音原文件"作为"关键证据"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微信支付"利益集团在立案后庭审前, 对原告发起过"商业情报攻击"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,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有决定作用的基本事实。</w:t>
      </w:r>
    </w:p>
    <w:p w14:paraId="CF998FC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原告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只能在线诉讼</w:t>
      </w:r>
      <w:r>
        <w:rPr>
          <w:rFonts w:ascii="宋体" w:cs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处于司法救助阶段并因为长期受政治迫害而靠父母存活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901B8F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"微法院"作为覆盖全国的主要审判平台, 至今2025不能传"音、视"频电子证据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FC58503A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78FBE53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9F2BAD01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 "最高法"2018年建设"微法院", 于2020年1月覆盖全国各省级区域。</w:t>
      </w:r>
    </w:p>
    <w:p w14:paraId="43CFC3C3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最高人民法院的行政误作为使"前海法院"不能不用"深圳移动微法院"在线审判。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"诉微信支付案"线上立案审理只用"深圳移动微法院"和"广东法院诉讼服务网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"诉微信支付案"核心证据之一: 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"中国法学网"的"</w:t>
      </w:r>
      <w:r>
        <w:rPr>
          <w:rFonts w:ascii="宋体" w:eastAsia="宋体"/>
          <w:sz w:val="24"/>
          <w:szCs w:val="24"/>
        </w:rPr>
        <w:fldChar w:fldCharType="begin"/>
      </w:r>
      <w:r>
        <w:rPr>
          <w:rFonts w:ascii="宋体" w:eastAsia="宋体"/>
          <w:sz w:val="24"/>
          <w:szCs w:val="24"/>
        </w:rPr>
        <w:instrText xml:space="preserve"> HYPERLINK "http://iolaw.cssn.cn/zxzp/202105/t20210521_5335103.shtml" </w:instrText>
      </w:r>
      <w:r>
        <w:rPr>
          <w:rFonts w:ascii="宋体" w:eastAsia="宋体"/>
          <w:sz w:val="24"/>
          <w:szCs w:val="24"/>
        </w:rPr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>
          <w:rFonts w:ascii="宋体" w:eastAsia="宋体"/>
          <w:sz w:val="24"/>
          <w:szCs w:val="24"/>
        </w:rPr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(来源: 《中国应用法学》2021年第2期, 作者:胡昌明), 特此摘要"微法院"关键历史: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b/>
          <w:bCs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3DBE31EC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 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 及其他致力中华民族民主科学、公平正义和法制的组织。</w:t>
      </w:r>
    </w:p>
    <w:p w14:paraId="DD3ABA87">
      <w:pPr>
        <w:pStyle w:val="style66"/>
        <w:spacing w:before="103" w:lineRule="exact" w:line="260"/>
        <w:jc w:val="left"/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6457882</wp:posOffset>
            </wp:positionH>
            <wp:positionV relativeFrom="page">
              <wp:posOffset>9948792</wp:posOffset>
            </wp:positionV>
            <wp:extent cx="344989" cy="570917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89" cy="57091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D9E418FD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left"/>
        <w:textAlignment w:val="baseline"/>
        <w:rPr/>
      </w:pPr>
    </w:p>
    <w:p w14:paraId="0DB5EA67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right"/>
        <w:textAlignment w:val="baseline"/>
        <w:rPr/>
      </w:pP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 xml:space="preserve">起诉人(申请人): </w:t>
      </w:r>
      <w:r>
        <w:rPr>
          <w:rFonts w:ascii="Arial" w:cs="Arial" w:eastAsia="Arial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drawing>
          <wp:inline distL="0" distT="0" distB="0" distR="0">
            <wp:extent cx="367665" cy="306514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-4934"/>
                    <a:stretch/>
                  </pic:blipFill>
                  <pic:spPr>
                    <a:xfrm rot="0">
                      <a:off x="0" y="0"/>
                      <a:ext cx="367665" cy="3065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2A325F">
      <w:pPr>
        <w:pStyle w:val="style66"/>
        <w:spacing w:before="103" w:lineRule="exact" w:line="260"/>
        <w:jc w:val="right"/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 xml:space="preserve">                   </w:t>
      </w:r>
      <w:r>
        <w:rPr>
          <w:rFonts w:ascii="Arial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1"/>
          <w:szCs w:val="21"/>
          <w:highlight w:val="none"/>
          <w:vertAlign w:val="baseline"/>
          <w:em w:val="none"/>
          <w:lang w:val="en-US" w:eastAsia="en-US"/>
        </w:rPr>
        <w:t>2025年09月06日</w:t>
      </w:r>
    </w:p>
    <w:p w14:paraId="F067ACBD">
      <w:pPr>
        <w:pStyle w:val="style66"/>
        <w:spacing w:before="103" w:lineRule="exact" w:line="260"/>
        <w:jc w:val="left"/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3BF12B9D">
      <w:pPr>
        <w:pStyle w:val="style66"/>
        <w:spacing w:before="103" w:lineRule="exact" w:line="260"/>
        <w:ind w:right="240"/>
        <w:rPr>
          <w:rFonts w:ascii="宋体" w:eastAsia="宋体"/>
          <w:color w:val="9933ff"/>
          <w:sz w:val="24"/>
          <w:szCs w:val="24"/>
          <w:highlight w:val="none"/>
          <w:u w:val="single"/>
          <w:lang w:val="en-US"/>
        </w:rPr>
      </w:pPr>
    </w:p>
    <w:p w14:paraId="3D2E87F7">
      <w:pPr>
        <w:pStyle w:val="style66"/>
        <w:spacing w:before="103" w:lineRule="exact" w:line="260"/>
        <w:ind w:right="240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  <w:t xml:space="preserve">       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rFonts w:ascii="宋体" w:eastAsia="宋体" w:hAnsi="宋体"/>
          <w:b/>
          <w:bCs/>
          <w:color w:val="9933ff"/>
          <w:sz w:val="24"/>
          <w:szCs w:val="24"/>
          <w:highlight w:val="none"/>
          <w:u w:val="single"/>
          <w:lang w:val="en-US"/>
        </w:rPr>
        <w:t xml:space="preserve">          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</w:t>
      </w:r>
    </w:p>
    <w:p w14:paraId="2D18A05A">
      <w:pPr>
        <w:pStyle w:val="style66"/>
        <w:spacing w:before="103" w:lineRule="exact" w:line="260"/>
        <w:ind w:right="240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"最高人民法院违反宪法"调查报告</w:t>
      </w:r>
    </w:p>
    <w:p w14:paraId="C1AEE71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 xml:space="preserve">不知道"最高检"怎么调查的, </w:t>
      </w:r>
      <w:r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本人特别调查提交本报告(至今2025年08月28日)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DB73FAF5">
      <w:pPr>
        <w:pStyle w:val="style66"/>
        <w:numPr>
          <w:ilvl w:val="0"/>
          <w:numId w:val="36"/>
        </w:numPr>
        <w:spacing w:before="103" w:lineRule="auto" w:line="240"/>
        <w:ind w:right="24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全国"微法院"版本部署管理混乱</w:t>
      </w: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。"最高法"</w:t>
      </w: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作为主导和推广方应负主要责任.</w:t>
      </w:r>
    </w:p>
    <w:p w14:paraId="BDE689D4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single"/>
          <w:lang w:val="en-US"/>
        </w:rPr>
        <w:t>导致财政支出高涨, 全国割据, 跨区协调不同步, 全国大市场不能互联互通</w:t>
      </w:r>
      <w:r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single"/>
          <w:lang w:val="en-US"/>
        </w:rPr>
        <w:t>:</w:t>
      </w:r>
    </w:p>
    <w:p w14:paraId="A30402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最高法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微法院"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是"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v2.1.4.4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"(版本更新公告"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2.1.3.5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",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2024-08-15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更新).</w:t>
      </w:r>
    </w:p>
    <w:p w14:paraId="691AAF5F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北京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v1.5.16.3.7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"版,</w:t>
      </w: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上海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v1.5.16.8.1100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版.</w:t>
      </w:r>
    </w:p>
    <w:p w14:paraId="89102C4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深圳版"微法院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v1.8.8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2025-08-27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更新), 近一年只有深圳还在更新.</w:t>
      </w:r>
    </w:p>
    <w:p w14:paraId="49DA61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天津、广东省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的少数法院用"微法院3.0"版是"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v2.2.3.5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2024-08-15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更新).</w:t>
      </w:r>
    </w:p>
    <w:p w14:paraId="8E464E5E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全球都用1个"微信/QQ"办到的, "最高法"用7年打造"微法院"仍主体功能缺失.</w:t>
      </w:r>
    </w:p>
    <w:p w14:paraId="F3F26603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"深圳移动微法院"及"法院在线"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("微法院"的升级版)的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"提交证据"功能, 确定是不能提交"视频、音频、录音"等格式的法定电子证据类型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。已经录屏为证。</w:t>
      </w:r>
    </w:p>
    <w:p w14:paraId="4428A808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"腾讯、阿里"旗下有许多成熟"业务系统平台"的完整建设周期远小于5年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</w:t>
      </w:r>
    </w:p>
    <w:p w14:paraId="F31EC2A2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"腾讯、阿里"等利益集团大到在政府关系、社会生产与生活、市场与交易</w:t>
      </w:r>
    </w:p>
    <w:p w14:paraId="E225F8A4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等方面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都处于事实上"一定程度的支配地位"。</w:t>
      </w:r>
    </w:p>
    <w:p w14:paraId="7C2646BC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由"保护排外"及"对标美国和世界先进"的政策领导成就的利益集团</w:t>
      </w:r>
      <w:r>
        <w:rPr>
          <w:rFonts w:ascii="宋体" w:cs="Microsoft YaHei" w:hAnsi="Microsoft YaHei"/>
          <w:b/>
          <w:bCs/>
          <w:color w:val="36363d"/>
          <w:sz w:val="24"/>
          <w:szCs w:val="24"/>
          <w:u w:val="single"/>
          <w:lang w:val="en-US"/>
        </w:rPr>
        <w:t>，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在</w:t>
      </w:r>
    </w:p>
    <w:p w14:paraId="1DB9D512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 xml:space="preserve">    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商业道德、社会责任、政府关系等方面, 并没有对标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"Amazon, Meta,</w:t>
      </w:r>
    </w:p>
    <w:p w14:paraId="23DAA0AB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Google、Apple, Microsoft, Tesla, IBM"等。</w:t>
      </w:r>
    </w:p>
    <w:p w14:paraId="5871002B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★"</w:t>
      </w:r>
      <w:r>
        <w:rPr>
          <w:rFonts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腾讯、阿里"为代表的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利益集团有政策保护深谙政治,争权夺利,与民争利.</w:t>
      </w:r>
    </w:p>
    <w:p w14:paraId="827F8D26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"最高检"监督与督办不力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。先两次"以不明确的理由"拒绝"监督并控告申请";</w:t>
      </w:r>
    </w:p>
    <w:p w14:paraId="EF1750C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本人公开转发申请到中央、国家、各地有关组织后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"最高检"才短信答复:</w:t>
      </w:r>
    </w:p>
    <w:p w14:paraId="606F87D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经审查, 依照法律和有关规定, 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不属于我院管辖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, 已将该材料转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广东检察院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."</w:t>
      </w:r>
    </w:p>
    <w:p w14:paraId="08C039E8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b/>
          <w:bCs/>
          <w:color w:val="36363d"/>
          <w:sz w:val="24"/>
          <w:szCs w:val="24"/>
        </w:rPr>
      </w:pPr>
      <w:r>
        <w:rPr>
          <w:b/>
          <w:bCs/>
          <w:color w:val="36363d"/>
          <w:sz w:val="24"/>
          <w:szCs w:val="24"/>
          <w:lang w:val="en-US"/>
        </w:rPr>
        <w:t>对照组: "上海与杭州"的"</w:t>
      </w:r>
      <w:r>
        <w:rPr>
          <w:rFonts w:ascii="Arial" w:cs="Arial" w:eastAsia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在线审判平台"</w:t>
      </w:r>
      <w:r>
        <w:rPr>
          <w:rFonts w:ascii="Arial" w:cs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主体功能"提交证据"没问题。</w:t>
      </w:r>
    </w:p>
    <w:p w14:paraId="21C1524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b/>
          <w:bCs/>
          <w:color w:val="36363d"/>
          <w:sz w:val="24"/>
          <w:szCs w:val="24"/>
        </w:rPr>
      </w:pPr>
    </w:p>
    <w:p w14:paraId="9F48D63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/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FE9B4EA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80D1DCEB">
      <w:pPr>
        <w:pStyle w:val="style66"/>
        <w:spacing w:before="103" w:lineRule="auto" w:line="210"/>
        <w:ind w:right="240"/>
        <w:jc w:val="center"/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深圳移动微法院的复现步骤为例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)</w:t>
      </w:r>
    </w:p>
    <w:p w14:paraId="C708377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2001757</wp:posOffset>
            </wp:positionH>
            <wp:positionV relativeFrom="page">
              <wp:posOffset>8119472</wp:posOffset>
            </wp:positionV>
            <wp:extent cx="1839389" cy="4393012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839389" cy="439301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107069</wp:posOffset>
            </wp:positionH>
            <wp:positionV relativeFrom="page">
              <wp:posOffset>8097244</wp:posOffset>
            </wp:positionV>
            <wp:extent cx="1814702" cy="4380273"/>
            <wp:effectExtent l="0" t="0" r="0" b="0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14702" cy="43802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1"/>
          <w:szCs w:val="21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3976452</wp:posOffset>
            </wp:positionH>
            <wp:positionV relativeFrom="page">
              <wp:posOffset>8052358</wp:posOffset>
            </wp:positionV>
            <wp:extent cx="1778386" cy="4422835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78386" cy="442283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5816486</wp:posOffset>
            </wp:positionH>
            <wp:positionV relativeFrom="page">
              <wp:posOffset>8056141</wp:posOffset>
            </wp:positionV>
            <wp:extent cx="1862465" cy="4420846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862465" cy="4420846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825B1A9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72FDC6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072116D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456676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08ADF8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C89A1CA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7AC51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7D492A9B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B599D1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E9DE10C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8CE07D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D51D2E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814FE2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8C7E89B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B4EDA9A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59283B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54D32D1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B56FB4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4DC002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86391CC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96EFCBD9">
      <w:pPr>
        <w:pStyle w:val="style66"/>
        <w:spacing w:before="103" w:lineRule="auto" w:line="210"/>
        <w:ind w:right="240"/>
        <w:jc w:val="center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</w:pPr>
      <w:r>
        <w:rPr>
          <w:rFonts w:ascii="宋体" w:cs="Microsoft YaHei" w:eastAsia="宋体" w:hAnsi="Microsoft YaHei"/>
          <w:b/>
          <w:bCs/>
          <w:sz w:val="44"/>
          <w:szCs w:val="44"/>
          <w:lang w:val="en-US"/>
        </w:rPr>
        <w:t xml:space="preserve">对照组: </w:t>
      </w: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  <w:t xml:space="preserve"> "上海与杭州"的"在线审判平台"</w:t>
      </w:r>
    </w:p>
    <w:p w14:paraId="597B72E8">
      <w:pPr>
        <w:pStyle w:val="style66"/>
        <w:spacing w:before="103" w:lineRule="auto" w:line="210"/>
        <w:ind w:right="240"/>
        <w:jc w:val="center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44"/>
          <w:szCs w:val="44"/>
          <w:highlight w:val="none"/>
          <w:vertAlign w:val="baseline"/>
          <w:em w:val="none"/>
          <w:lang w:val="en-US" w:eastAsia="en-US"/>
        </w:rPr>
      </w:pP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4017923</wp:posOffset>
            </wp:positionH>
            <wp:positionV relativeFrom="page">
              <wp:posOffset>2136308</wp:posOffset>
            </wp:positionV>
            <wp:extent cx="3562219" cy="3169565"/>
            <wp:effectExtent l="0" t="0" r="0" b="0"/>
            <wp:wrapNone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14361" r="0" b="20365"/>
                    <a:stretch/>
                  </pic:blipFill>
                  <pic:spPr>
                    <a:xfrm rot="0">
                      <a:off x="0" y="0"/>
                      <a:ext cx="3562219" cy="316956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89BB7F2B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Microsoft YaHei"/>
          <w:b/>
          <w:bCs/>
          <w:sz w:val="44"/>
          <w:szCs w:val="44"/>
        </w:rPr>
      </w:pPr>
    </w:p>
    <w:p w14:paraId="0AFB04BA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Microsoft YaHei"/>
          <w:b/>
          <w:bCs/>
          <w:sz w:val="44"/>
          <w:szCs w:val="44"/>
        </w:rPr>
      </w:pPr>
    </w:p>
    <w:p w14:paraId="CE67B75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163971</wp:posOffset>
            </wp:positionH>
            <wp:positionV relativeFrom="page">
              <wp:posOffset>2065481</wp:posOffset>
            </wp:positionV>
            <wp:extent cx="3676093" cy="3229391"/>
            <wp:effectExtent l="0" t="0" r="0" b="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9557"/>
                    <a:stretch/>
                  </pic:blipFill>
                  <pic:spPr>
                    <a:xfrm rot="0">
                      <a:off x="0" y="0"/>
                      <a:ext cx="3676093" cy="3229391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6E80ECF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A0F6FB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9D71BAB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C96B3C1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8B60D7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B6364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7420DA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A59F6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2F82516D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BAFF697F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FD9A99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4626C2E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"最高人民法院"违纪违法举报中心举报</w:t>
      </w:r>
    </w:p>
    <w:p w14:paraId="97D2A2F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谁会控告"最高人民法院"违反宪法侵占诉讼权并申请监督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总能一次次地出现在"手机电脑"上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←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读取人脑);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他们还总能设计你打开手机精准看到并交互(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→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控制人脑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);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他们在"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用机器智能(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操控我们的人脑/思考/身体/社交/言行.</w:t>
      </w:r>
    </w:p>
    <w:p w14:paraId="132D49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结合以上"最高人民法院违反宪法案"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更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进一步可以确定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  <w:u w:val="none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他们在通过"控制人脑"深度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操控政府与社会的生产生活秩序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92B0D9AB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不仅构陷"本人都冤假错案、倾家荡产",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编排"最高法"违宪;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为他们的"政绩权利(</w:t>
      </w:r>
      <w:r>
        <w:rPr>
          <w:rFonts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 xml:space="preserve">)", 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不公开"控制人脑"的"白色恐怖"行为，无声无息地篡夺中华民族民主、独立主权、自由与财富，这些是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万万革命先辈用生命、鲜血、智慧、财富终身奋斗千年争取得到的。</w:t>
      </w:r>
    </w:p>
    <w:p w14:paraId="6C5DE76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b/>
          <w:bCs/>
          <w:sz w:val="28"/>
          <w:szCs w:val="28"/>
          <w:lang w:val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"控制人脑"方式操控"民众"、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"行政公务人员"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。</w:t>
      </w:r>
    </w:p>
    <w:p w14:paraId="81D8D2B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  <w:r>
        <w:rPr>
          <w:rFonts w:ascii="宋体" w:eastAsia="宋体"/>
          <w:b/>
          <w:bCs/>
          <w:sz w:val="28"/>
          <w:szCs w:val="28"/>
          <w:u w:val="single"/>
          <w:lang w:val="en-US"/>
        </w:rPr>
        <w:t>还有多少人不信"我是被控制人脑强迫借贷、炒股炒币、违法犯罪"</w:t>
      </w:r>
      <w:r>
        <w:rPr>
          <w:rFonts w:ascii="宋体" w:eastAsia="宋体"/>
          <w:sz w:val="28"/>
          <w:szCs w:val="28"/>
          <w:lang w:val="en-US"/>
        </w:rPr>
        <w:t>？</w:t>
      </w:r>
    </w:p>
    <w:p w14:paraId="D03A5B5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</w:p>
    <w:p w14:paraId="7E8AA2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8"/>
          <w:szCs w:val="28"/>
          <w:lang w:val="en-US"/>
        </w:rPr>
        <w:t>或者，本来就是"</w:t>
      </w:r>
      <w:r>
        <w:rPr>
          <w:rFonts w:ascii="宋体" w:eastAsia="宋体" w:hAnsi="宋体"/>
          <w:sz w:val="28"/>
          <w:szCs w:val="28"/>
          <w:lang w:val="en-US"/>
        </w:rPr>
        <w:t>中央政府"在"控制人脑""设计编排操控着社会秩序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不违反世界人权法案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懂行的收集足</w:t>
      </w:r>
      <w:r>
        <w:rPr>
          <w:rFonts w:ascii="宋体" w:eastAsia="宋体"/>
          <w:sz w:val="28"/>
          <w:szCs w:val="28"/>
          <w:lang w:val="en-US"/>
        </w:rPr>
        <w:t>够证据向"世界人权组织"起诉。</w:t>
      </w:r>
    </w:p>
    <w:p w14:paraId="ECCFDA55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C2A589F">
      <w:pPr>
        <w:pStyle w:val="style66"/>
        <w:spacing w:before="103" w:lineRule="auto" w:line="210"/>
        <w:ind w:right="240"/>
        <w:jc w:val="left"/>
        <w:rPr>
          <w:rFonts w:ascii="宋体" w:eastAsia="宋体"/>
          <w:b/>
          <w:bCs/>
          <w:color w:val="bf0000"/>
          <w:sz w:val="44"/>
          <w:szCs w:val="44"/>
          <w:u w:val="single"/>
          <w:lang w:val="en-US"/>
        </w:rPr>
      </w:pPr>
    </w:p>
    <w:p w14:paraId="6C3F7849">
      <w:pPr>
        <w:pStyle w:val="style66"/>
        <w:spacing w:before="103" w:lineRule="auto" w:line="210"/>
        <w:ind w:right="240"/>
        <w:jc w:val="center"/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</w:pPr>
      <w:r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  <w:t>举报到中共中央:</w:t>
      </w:r>
    </w:p>
    <w:p w14:paraId="9053DCC7">
      <w:pPr>
        <w:pStyle w:val="style66"/>
        <w:spacing w:before="103" w:lineRule="auto" w:line="210"/>
        <w:ind w:right="240"/>
        <w:jc w:val="left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 xml:space="preserve">中央组织部 举报查询码: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u w:val="none"/>
          <w:lang w:val="en-US"/>
        </w:rPr>
        <w:t>8865D835FE4429211CF46CE5E7238666</w:t>
      </w:r>
    </w:p>
    <w:p w14:paraId="698A7B2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/>
          <w:b/>
          <w:bCs/>
          <w:color w:val="bf0000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中央纪委和国家监察委 举报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查询码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lang w:val="en-US"/>
        </w:rPr>
        <w:t xml:space="preserve">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B75F848EHBE3G8U54803</w:t>
      </w:r>
    </w:p>
    <w:p w14:paraId="F7F5119D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9E92F144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A3F441F5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F49DAA9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申请"最高人民检察院"的监督与公益诉讼</w:t>
      </w:r>
    </w:p>
    <w:p w14:paraId="42B6DCBF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499634</wp:posOffset>
            </wp:positionH>
            <wp:positionV relativeFrom="page">
              <wp:posOffset>4953034</wp:posOffset>
            </wp:positionV>
            <wp:extent cx="3295823" cy="6430416"/>
            <wp:effectExtent l="0" t="0" r="0" b="0"/>
            <wp:wrapNone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4128" r="0" b="8103"/>
                    <a:stretch/>
                  </pic:blipFill>
                  <pic:spPr>
                    <a:xfrm rot="0">
                      <a:off x="0" y="0"/>
                      <a:ext cx="3295823" cy="643041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4009393</wp:posOffset>
            </wp:positionH>
            <wp:positionV relativeFrom="page">
              <wp:posOffset>4927093</wp:posOffset>
            </wp:positionV>
            <wp:extent cx="3237395" cy="6484074"/>
            <wp:effectExtent l="0" t="0" r="0" b="0"/>
            <wp:wrapNone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808" r="1" b="2794"/>
                    <a:stretch/>
                  </pic:blipFill>
                  <pic:spPr>
                    <a:xfrm rot="0">
                      <a:off x="0" y="0"/>
                      <a:ext cx="3237395" cy="648407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</w:p>
    <w:sectPr>
      <w:headerReference w:type="default" r:id="rId12"/>
      <w:footerReference w:type="default" r:id="rId13"/>
      <w:pgSz w:w="12240" w:h="20160" w:orient="portrait"/>
      <w:pgMar w:top="1440" w:right="1800" w:bottom="1440" w:left="18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书宋二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君黑-45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仿宋_GB2312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 w14:paraId="5B265FA9">
    <w:pPr>
      <w:pStyle w:val="style0"/>
      <w:jc w:val="center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 w14:paraId="896981AF">
    <w:pPr>
      <w:pStyle w:val="style0"/>
      <w:jc w:val="center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0C"/>
    <w:multiLevelType w:val="hybridMultilevel"/>
    <w:tmpl w:val="703AFC4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1E27A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E2BBC1F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6B22441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2115085F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00000011"/>
    <w:multiLevelType w:val="hybridMultilevel"/>
    <w:tmpl w:val="DDDC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hybridMultilevel"/>
    <w:tmpl w:val="AD723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0000013"/>
    <w:multiLevelType w:val="hybridMultilevel"/>
    <w:tmpl w:val="ACA55F33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37177740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E48B929E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0000016"/>
    <w:multiLevelType w:val="hybridMultilevel"/>
    <w:tmpl w:val="BC51CF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0000017"/>
    <w:multiLevelType w:val="hybridMultilevel"/>
    <w:tmpl w:val="946EF645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00000018"/>
    <w:multiLevelType w:val="hybridMultilevel"/>
    <w:tmpl w:val="153EF2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00000019"/>
    <w:multiLevelType w:val="hybridMultilevel"/>
    <w:tmpl w:val="153F3F33"/>
    <w:lvl w:ilvl="0" w:tplc="0409000F">
      <w:start w:val="1"/>
      <w:numFmt w:val="upperLetter"/>
      <w:lvlText w:val="%1.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6">
    <w:nsid w:val="0000001A"/>
    <w:multiLevelType w:val="hybridMultilevel"/>
    <w:tmpl w:val="EA41BF9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0000001B"/>
    <w:multiLevelType w:val="hybridMultilevel"/>
    <w:tmpl w:val="482CEE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  <w:num w:numId="23">
    <w:abstractNumId w:val="12"/>
  </w:num>
  <w:num w:numId="24">
    <w:abstractNumId w:val="12"/>
  </w:num>
  <w:num w:numId="25">
    <w:abstractNumId w:val="13"/>
  </w:num>
  <w:num w:numId="26">
    <w:abstractNumId w:val="14"/>
  </w:num>
  <w:num w:numId="27">
    <w:abstractNumId w:val="15"/>
  </w:num>
  <w:num w:numId="28">
    <w:abstractNumId w:val="16"/>
  </w:num>
  <w:num w:numId="29">
    <w:abstractNumId w:val="17"/>
  </w:num>
  <w:num w:numId="30">
    <w:abstractNumId w:val="18"/>
  </w:num>
  <w:num w:numId="31">
    <w:abstractNumId w:val="19"/>
  </w:num>
  <w:num w:numId="32">
    <w:abstractNumId w:val="20"/>
  </w:num>
  <w:num w:numId="33">
    <w:abstractNumId w:val="21"/>
  </w:num>
  <w:num w:numId="34">
    <w:abstractNumId w:val="21"/>
  </w:num>
  <w:num w:numId="35">
    <w:abstractNumId w:val="22"/>
  </w:num>
  <w:num w:numId="36">
    <w:abstractNumId w:val="22"/>
  </w:num>
  <w:num w:numId="37">
    <w:abstractNumId w:val="23"/>
  </w:num>
  <w:num w:numId="38">
    <w:abstractNumId w:val="24"/>
  </w:num>
  <w:num w:numId="39">
    <w:abstractNumId w:val="25"/>
  </w:num>
  <w:num w:numId="40">
    <w:abstractNumId w:val="25"/>
  </w:num>
  <w:num w:numId="41">
    <w:abstractNumId w:val="26"/>
  </w:num>
  <w:num w:numId="42">
    <w:abstractNumId w:val="26"/>
  </w:num>
  <w:num w:numId="43">
    <w:abstractNumId w:val="27"/>
  </w:num>
  <w:num w:numId="44">
    <w:abstractNumId w:val="27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  <w:style w:type="paragraph" w:styleId="style31">
    <w:name w:val="header"/>
    <w:basedOn w:val="style0"/>
    <w:next w:val="style31"/>
    <w:pPr>
      <w:widowControl w:val="false"/>
      <w:tabs>
        <w:tab w:val="center" w:leader="none" w:pos="4140"/>
        <w:tab w:val="right" w:leader="none" w:pos="8300"/>
      </w:tabs>
      <w:snapToGrid w:val="false"/>
      <w:spacing w:after="0" w:lineRule="auto" w:line="240"/>
      <w:jc w:val="both"/>
      <w:outlineLvl w:val="9"/>
    </w:pPr>
    <w:rPr>
      <w:rFonts w:ascii="Calibri" w:cs="Times New Roman" w:eastAsia="宋体" w:hAnsi="Calibri"/>
      <w:kern w:val="2"/>
      <w:sz w:val="18"/>
      <w:szCs w:val="24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footer" Target="footer2.xml"/><Relationship Id="rId12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3904</Words>
  <Characters>4378</Characters>
  <Application>WPS Office</Application>
  <Paragraphs>194</Paragraphs>
  <CharactersWithSpaces>4964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2025-09-06T08:13:05Z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